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20" w:tblpY="1"/>
        <w:tblW w:w="140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6611"/>
        <w:gridCol w:w="3241"/>
        <w:gridCol w:w="3529"/>
      </w:tblGrid>
      <w:tr w:rsidR="0044423F" w:rsidTr="00F90AF3">
        <w:trPr>
          <w:tblHeader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44423F" w:rsidRDefault="002B05DF">
            <w:pPr>
              <w:widowControl w:val="0"/>
              <w:spacing w:after="60"/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LP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44423F" w:rsidRDefault="002B05DF">
            <w:pPr>
              <w:widowControl w:val="0"/>
              <w:spacing w:after="60"/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PARAMETRY GRANICZNE ANALIZATORA TYPU BACK-UP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44423F" w:rsidRDefault="002B05DF">
            <w:pPr>
              <w:widowControl w:val="0"/>
              <w:spacing w:after="60"/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44423F" w:rsidRDefault="002B05DF">
            <w:pPr>
              <w:widowControl w:val="0"/>
              <w:spacing w:after="60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OFEROWANE</w:t>
            </w:r>
          </w:p>
          <w:p w:rsidR="0044423F" w:rsidRDefault="002B05DF">
            <w:pPr>
              <w:widowControl w:val="0"/>
              <w:spacing w:after="60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(wypełnia Wykonawca)</w:t>
            </w:r>
          </w:p>
          <w:p w:rsidR="0044423F" w:rsidRDefault="0044423F">
            <w:pPr>
              <w:widowControl w:val="0"/>
              <w:spacing w:after="60"/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</w:tr>
      <w:tr w:rsidR="0044423F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Default="002B05DF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F90AF3" w:rsidP="00E15CFB">
            <w:pPr>
              <w:widowControl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A</w:t>
            </w:r>
            <w:r w:rsidR="002B05DF" w:rsidRPr="00E15CFB">
              <w:rPr>
                <w:rFonts w:ascii="Calibri" w:hAnsi="Calibri" w:cs="Calibri"/>
                <w:sz w:val="24"/>
              </w:rPr>
              <w:t>nalizator immunochemiczny – rok produkcji minimum 2021 wraz z drukarką.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  <w:p w:rsidR="0044423F" w:rsidRPr="00E15CFB" w:rsidRDefault="0044423F" w:rsidP="00E15CFB">
            <w:pPr>
              <w:widowControl w:val="0"/>
              <w:spacing w:after="60"/>
              <w:rPr>
                <w:rFonts w:ascii="Calibri" w:hAnsi="Calibri" w:cs="Calibri"/>
                <w:sz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napToGrid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Pełna nazwa: __________________</w:t>
            </w:r>
          </w:p>
          <w:p w:rsidR="0044423F" w:rsidRPr="00E15CFB" w:rsidRDefault="002B05DF" w:rsidP="00E15CFB">
            <w:pPr>
              <w:widowControl w:val="0"/>
              <w:snapToGrid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Rok produkcji:__________________</w:t>
            </w:r>
          </w:p>
          <w:p w:rsidR="0044423F" w:rsidRPr="00E15CFB" w:rsidRDefault="002B05DF" w:rsidP="00E15CFB">
            <w:pPr>
              <w:widowControl w:val="0"/>
              <w:snapToGrid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Producent: ____________________</w:t>
            </w:r>
          </w:p>
        </w:tc>
      </w:tr>
      <w:tr w:rsidR="0044423F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Default="002B05DF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Analizator dopuszczony do obrotu na terytorium RP, posiadający wymagane przez przepisy prawa świadectwa, certyfikaty, atesty, spełniający wymogi w zakresie norm bezpieczeństwa obsługi, certyfikat CE.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="Calibri" w:hAnsi="Calibri" w:cs="Calibri"/>
                <w:sz w:val="24"/>
              </w:rPr>
            </w:pPr>
          </w:p>
        </w:tc>
      </w:tr>
      <w:tr w:rsidR="0044423F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Default="002B05DF">
            <w:pPr>
              <w:widowControl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Szeroki zakres wykonywanych oznaczeń (analizator główny lub back-up) a w tym wymagane:</w:t>
            </w:r>
          </w:p>
          <w:p w:rsidR="0044423F" w:rsidRPr="00E15CFB" w:rsidRDefault="0044423F" w:rsidP="00E15CFB">
            <w:pPr>
              <w:widowControl w:val="0"/>
              <w:rPr>
                <w:rFonts w:ascii="Calibri" w:hAnsi="Calibri" w:cs="Calibri"/>
                <w:sz w:val="24"/>
              </w:rPr>
            </w:pPr>
          </w:p>
          <w:p w:rsidR="0044423F" w:rsidRPr="00E15CFB" w:rsidRDefault="002B05DF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Pro-adrenomedulina</w:t>
            </w:r>
          </w:p>
          <w:p w:rsidR="0044423F" w:rsidRPr="00E15CFB" w:rsidRDefault="002B05DF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 xml:space="preserve">Antygen </w:t>
            </w:r>
            <w:r w:rsidRPr="00E15CFB">
              <w:rPr>
                <w:rFonts w:ascii="Calibri" w:hAnsi="Calibri" w:cs="Calibri"/>
                <w:i/>
                <w:iCs/>
                <w:sz w:val="24"/>
              </w:rPr>
              <w:t>Legionella</w:t>
            </w:r>
            <w:r w:rsidRPr="00E15CFB">
              <w:rPr>
                <w:rFonts w:ascii="Calibri" w:hAnsi="Calibri" w:cs="Calibri"/>
                <w:sz w:val="24"/>
              </w:rPr>
              <w:t xml:space="preserve"> pneumophila</w:t>
            </w:r>
          </w:p>
          <w:p w:rsidR="00F90AF3" w:rsidRPr="00E15CFB" w:rsidRDefault="00F90AF3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 xml:space="preserve">Antygen </w:t>
            </w:r>
            <w:r w:rsidRPr="00E15CFB">
              <w:rPr>
                <w:rFonts w:ascii="Calibri" w:hAnsi="Calibri" w:cs="Calibri"/>
                <w:i/>
                <w:sz w:val="24"/>
              </w:rPr>
              <w:t>Streptococcus pneumoniae</w:t>
            </w:r>
          </w:p>
          <w:p w:rsidR="0044423F" w:rsidRPr="00E15CFB" w:rsidRDefault="002B05DF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p/ciała anty-HDV</w:t>
            </w:r>
          </w:p>
          <w:p w:rsidR="0044423F" w:rsidRPr="00E15CFB" w:rsidRDefault="002B05DF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 xml:space="preserve">p/ciała anty- </w:t>
            </w:r>
            <w:r w:rsidRPr="00E15CFB">
              <w:rPr>
                <w:rFonts w:ascii="Calibri" w:hAnsi="Calibri" w:cs="Calibri"/>
                <w:i/>
                <w:iCs/>
                <w:sz w:val="24"/>
              </w:rPr>
              <w:t xml:space="preserve">Borrelia </w:t>
            </w:r>
            <w:r w:rsidRPr="00E15CFB">
              <w:rPr>
                <w:rFonts w:ascii="Calibri" w:hAnsi="Calibri" w:cs="Calibri"/>
                <w:sz w:val="24"/>
              </w:rPr>
              <w:t>burgdorferi Ig G (ilościowe)</w:t>
            </w:r>
          </w:p>
          <w:p w:rsidR="0044423F" w:rsidRPr="00E15CFB" w:rsidRDefault="002B05DF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 xml:space="preserve">p/ciała anty- </w:t>
            </w:r>
            <w:r w:rsidRPr="00E15CFB">
              <w:rPr>
                <w:rFonts w:ascii="Calibri" w:hAnsi="Calibri" w:cs="Calibri"/>
                <w:i/>
                <w:iCs/>
                <w:sz w:val="24"/>
              </w:rPr>
              <w:t>Borrelia</w:t>
            </w:r>
            <w:r w:rsidRPr="00E15CFB">
              <w:rPr>
                <w:rFonts w:ascii="Calibri" w:hAnsi="Calibri" w:cs="Calibri"/>
                <w:sz w:val="24"/>
              </w:rPr>
              <w:t xml:space="preserve"> burgdorferi Ig M (ilościowe)</w:t>
            </w:r>
          </w:p>
          <w:p w:rsidR="0044423F" w:rsidRPr="00E15CFB" w:rsidRDefault="002B05DF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Quantiferon TB</w:t>
            </w:r>
          </w:p>
          <w:p w:rsidR="00F90AF3" w:rsidRPr="00E15CFB" w:rsidRDefault="00F90AF3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Adenowirus-antygen w kale</w:t>
            </w:r>
          </w:p>
          <w:p w:rsidR="00F90AF3" w:rsidRPr="00E15CFB" w:rsidRDefault="00F90AF3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Rotawirus – antygen w kale</w:t>
            </w:r>
          </w:p>
          <w:p w:rsidR="00F90AF3" w:rsidRPr="00E15CFB" w:rsidRDefault="00F90AF3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i/>
                <w:sz w:val="24"/>
              </w:rPr>
              <w:lastRenderedPageBreak/>
              <w:t>Campylobacter</w:t>
            </w:r>
            <w:r w:rsidRPr="00E15CFB">
              <w:rPr>
                <w:rFonts w:ascii="Calibri" w:hAnsi="Calibri" w:cs="Calibri"/>
                <w:sz w:val="24"/>
              </w:rPr>
              <w:t>-antygen w kale</w:t>
            </w:r>
          </w:p>
          <w:p w:rsidR="00F90AF3" w:rsidRPr="00E15CFB" w:rsidRDefault="00F90AF3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i/>
                <w:sz w:val="24"/>
              </w:rPr>
              <w:t>Clostridioides difficile</w:t>
            </w:r>
            <w:r w:rsidRPr="00E15CFB">
              <w:rPr>
                <w:rFonts w:ascii="Calibri" w:hAnsi="Calibri" w:cs="Calibri"/>
                <w:sz w:val="24"/>
              </w:rPr>
              <w:t>-antygen GDH w kale</w:t>
            </w:r>
          </w:p>
          <w:p w:rsidR="00F90AF3" w:rsidRPr="00E15CFB" w:rsidRDefault="00F90AF3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i/>
                <w:sz w:val="24"/>
              </w:rPr>
              <w:t>Clostridioides difficile</w:t>
            </w:r>
            <w:r w:rsidRPr="00E15CFB">
              <w:rPr>
                <w:rFonts w:ascii="Calibri" w:hAnsi="Calibri" w:cs="Calibri"/>
                <w:sz w:val="24"/>
              </w:rPr>
              <w:t xml:space="preserve"> – wykrywanie toksyn A i/lub B w kale</w:t>
            </w:r>
          </w:p>
          <w:p w:rsidR="00F90AF3" w:rsidRPr="00E15CFB" w:rsidRDefault="00F90AF3" w:rsidP="00E15CFB">
            <w:pPr>
              <w:widowControl w:val="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i/>
                <w:sz w:val="24"/>
              </w:rPr>
              <w:t>Helicobacter pylorii</w:t>
            </w:r>
            <w:r w:rsidRPr="00E15CFB">
              <w:rPr>
                <w:rFonts w:ascii="Calibri" w:hAnsi="Calibri" w:cs="Calibri"/>
                <w:sz w:val="24"/>
              </w:rPr>
              <w:t xml:space="preserve"> – antygen w kale</w:t>
            </w:r>
          </w:p>
          <w:p w:rsidR="0044423F" w:rsidRPr="00E15CFB" w:rsidRDefault="0044423F" w:rsidP="00E15CFB">
            <w:pPr>
              <w:widowControl w:val="0"/>
              <w:rPr>
                <w:rFonts w:ascii="Calibri" w:hAnsi="Calibri" w:cs="Calibri"/>
                <w:sz w:val="24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lastRenderedPageBreak/>
              <w:t>TAK</w:t>
            </w:r>
          </w:p>
          <w:p w:rsidR="0044423F" w:rsidRPr="00E15CFB" w:rsidRDefault="0044423F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="Calibri" w:hAnsi="Calibri" w:cs="Calibri"/>
                <w:sz w:val="24"/>
              </w:rPr>
            </w:pPr>
            <w:bookmarkStart w:id="0" w:name="_GoBack"/>
            <w:bookmarkEnd w:id="0"/>
          </w:p>
        </w:tc>
      </w:tr>
      <w:tr w:rsidR="0044423F" w:rsidTr="00F90AF3"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4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Analizator nastołowy, w pełni automatyczny, typu random access z możliwością wykonywania pilnych badań.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44423F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Analizator wykonujący oznaczenia w technice chemiluminescencji.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44423F" w:rsidTr="00F90AF3">
        <w:tc>
          <w:tcPr>
            <w:tcW w:w="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6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Wydajność analizatora minimum 85 testów na godzinę.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44423F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Analizator z magazynem odczynnikowym zapewniającym chłodzenie odczynników do temperatury wymaganej przez Producenta.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44423F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Wbudowany system kontroli jakości z analizą statystyczną i graficzną.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44423F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Identyfikacja odczynników i próbek badanych za pomocą wewnętrznego czytnika kodów kreskowych lub innego rozwiązania.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44423F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10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widowControl w:val="0"/>
              <w:spacing w:after="60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Czujniki skrzepów dla próbek.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2B05DF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23F" w:rsidRPr="00E15CFB" w:rsidRDefault="0044423F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F90AF3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F3" w:rsidRPr="00E15CFB" w:rsidRDefault="00F90AF3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11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F3" w:rsidRPr="00E15CFB" w:rsidRDefault="00F90AF3" w:rsidP="00E15CFB">
            <w:pPr>
              <w:widowControl w:val="0"/>
              <w:spacing w:after="60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Przebieg reakcji w jednorazowej kuwecie.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F3" w:rsidRPr="00E15CFB" w:rsidRDefault="00F90AF3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F3" w:rsidRPr="00E15CFB" w:rsidRDefault="00F90AF3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F90AF3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F3" w:rsidRPr="00E15CFB" w:rsidRDefault="00F90AF3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sz w:val="24"/>
              </w:rPr>
              <w:t>12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F3" w:rsidRPr="00E15CFB" w:rsidRDefault="00F90AF3" w:rsidP="00E15CFB">
            <w:pPr>
              <w:widowControl w:val="0"/>
              <w:spacing w:after="60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Pipetowanie próbek pacjentów za pomocą jednorazowych tipsów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F3" w:rsidRPr="00E15CFB" w:rsidRDefault="00F90AF3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F3" w:rsidRPr="00E15CFB" w:rsidRDefault="00F90AF3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bCs/>
                <w:sz w:val="24"/>
              </w:rPr>
              <w:t>13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Monitorowanie zużycia odczynników i materiałów zużywalnych w aparacie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bCs/>
                <w:sz w:val="24"/>
              </w:rPr>
              <w:t>14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 xml:space="preserve">Zastosowanie materiałów kontrolnych do wewnątrzlaboratoryjnej kontroli jakości oznaczeń immunochemicznych (minimum 2 </w:t>
            </w:r>
            <w:r w:rsidRPr="00E15CFB">
              <w:rPr>
                <w:rFonts w:asciiTheme="minorHAnsi" w:hAnsiTheme="minorHAnsi" w:cstheme="minorHAnsi"/>
                <w:sz w:val="24"/>
              </w:rPr>
              <w:lastRenderedPageBreak/>
              <w:t>poziomy decyzyjne).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lastRenderedPageBreak/>
              <w:t xml:space="preserve">TAK, </w:t>
            </w:r>
          </w:p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 xml:space="preserve">PODAĆ DOSTĘPNE PARAMETRY </w:t>
            </w:r>
            <w:r w:rsidRPr="00E15CFB">
              <w:rPr>
                <w:rFonts w:asciiTheme="minorHAnsi" w:hAnsiTheme="minorHAnsi" w:cstheme="minorHAnsi"/>
                <w:sz w:val="24"/>
              </w:rPr>
              <w:lastRenderedPageBreak/>
              <w:t>OBJĘTE KONTROLĄ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bCs/>
                <w:sz w:val="24"/>
              </w:rPr>
              <w:t>15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Oprogramowanie własne w języku polskim, zapewniające stały monitoring poziomu odczynników i materiałów zużywalnych.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E15CFB">
              <w:rPr>
                <w:rFonts w:asciiTheme="minorHAnsi" w:hAnsiTheme="minorHAnsi" w:cstheme="minorHAnsi"/>
                <w:b/>
                <w:bCs/>
                <w:sz w:val="24"/>
              </w:rPr>
              <w:t>16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Dwukierunkowa komunikacja danych z posiadanym przez Zamawiającego laboratoryjnym systemem informatycznym (InfoMedica, Asseco).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Theme="minorHAnsi" w:hAnsiTheme="minorHAnsi" w:cstheme="minorHAnsi"/>
                <w:sz w:val="24"/>
              </w:rPr>
            </w:pPr>
            <w:r w:rsidRPr="00E15CF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t>17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Analizator zaopatrzony w zewnętrzne urządzenie zasilania awaryjnego UPS.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t>18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Wykonywanie w czasie trwania umowy okresowych przeglądów technicznych analizatora (zgodnie z zaleceniami producenta urządzenia, minimum 1 x w roku), obejmujących: dojazd, pracę inżyniera, wszystkie części zużywalne i zamienne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t>19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Serwisowanie analizatora przez cały okres dzierżawy  obejmujące: dojazd, pracę inżyniera serwisu, wszystkie  części zużywalne i  zamienne oraz niezbędne akcesoria (np. wężyki, przewody odczynnikowe, igły, zawory, elementy  mechaniczne i elektryczne analizatora) związane z bieżącą pracą oferowanych urządzeń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t>20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Bezpłatne aktualizacje oprogramowania podczas trwania umowy.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t>21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Interwencja serwisu na zgłoszenie awarii (przyjazd do Zamawiającego w celu naprawy) do 24 h w dni robocze od momentu zgłoszenia awarii autoryzowanemu serwisowi (telefonicznie, pocztą elektroniczną).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t>22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Bezpłatne przeszkolenie użytkowników (tj. 2-5 pracowników) z zakresu obsługi analizatora w miejscu instalacji urządzeń.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lastRenderedPageBreak/>
              <w:t>23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W przypadku trzykrotnej awarii tego samego zespołu/podzespołu/modułu systemu w okresie obowiązywania umowy – wymiana systemu na nowy o parametrach nie niższych niż oferowany, na koszt Wykonawcy.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407" w:rsidTr="00F90AF3">
        <w:trPr>
          <w:trHeight w:val="45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t>24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CB5B13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Pokrycie kosztów uczestnictwa w zewnątrzl</w:t>
            </w:r>
            <w:r w:rsidR="00CB5B13">
              <w:rPr>
                <w:rFonts w:ascii="Calibri" w:hAnsi="Calibri" w:cs="Calibri"/>
                <w:sz w:val="24"/>
              </w:rPr>
              <w:t xml:space="preserve">aboratoryjnej kontroli jakości </w:t>
            </w:r>
            <w:r w:rsidRPr="00E15CFB">
              <w:rPr>
                <w:rFonts w:ascii="Calibri" w:hAnsi="Calibri" w:cs="Calibri"/>
                <w:sz w:val="24"/>
              </w:rPr>
              <w:t xml:space="preserve">w zakresie </w:t>
            </w:r>
            <w:r w:rsidR="00CB5B13">
              <w:rPr>
                <w:rFonts w:ascii="Calibri" w:hAnsi="Calibri" w:cs="Calibri"/>
                <w:sz w:val="24"/>
              </w:rPr>
              <w:t>dostępnych</w:t>
            </w:r>
            <w:r w:rsidRPr="00E15CFB">
              <w:rPr>
                <w:rFonts w:ascii="Calibri" w:hAnsi="Calibri" w:cs="Calibri"/>
                <w:sz w:val="24"/>
              </w:rPr>
              <w:t xml:space="preserve"> oznaczeń.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407" w:rsidTr="00F90AF3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widowControl w:val="0"/>
              <w:spacing w:after="60"/>
              <w:rPr>
                <w:rFonts w:ascii="Calibri" w:hAnsi="Calibri" w:cs="Calibri"/>
                <w:b/>
                <w:bCs/>
                <w:sz w:val="24"/>
              </w:rPr>
            </w:pPr>
            <w:r w:rsidRPr="00E15CFB">
              <w:rPr>
                <w:rFonts w:ascii="Calibri" w:hAnsi="Calibri" w:cs="Calibri"/>
                <w:b/>
                <w:bCs/>
                <w:sz w:val="24"/>
              </w:rPr>
              <w:t>25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Aktualne, zgodnie z obowiązującymi przepisami karty charakterystyki substancji niebezpiecznych dla odczynników dostarczone wraz z pierwszą dostawą, w przypadku aktualizacji oraz na każde żądanie Zamawiającego.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Pr="00E15CFB" w:rsidRDefault="006C1407" w:rsidP="00E15CFB">
            <w:pPr>
              <w:pStyle w:val="Tekstpodstawowy21"/>
              <w:widowControl w:val="0"/>
              <w:spacing w:after="60" w:line="240" w:lineRule="auto"/>
              <w:rPr>
                <w:rFonts w:ascii="Calibri" w:hAnsi="Calibri" w:cs="Calibri"/>
                <w:sz w:val="24"/>
              </w:rPr>
            </w:pPr>
            <w:r w:rsidRPr="00E15CFB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407" w:rsidRDefault="006C1407" w:rsidP="006C1407">
            <w:pPr>
              <w:widowControl w:val="0"/>
              <w:snapToGrid w:val="0"/>
              <w:spacing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44423F" w:rsidRDefault="002B05D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br/>
      </w:r>
    </w:p>
    <w:p w:rsidR="0044423F" w:rsidRDefault="002B05D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Niespełnienie któregokolwiek z wymienionych parametrów granicznych spowoduje odrzucenie oferty.</w:t>
      </w:r>
    </w:p>
    <w:sectPr w:rsidR="0044423F">
      <w:headerReference w:type="default" r:id="rId6"/>
      <w:footerReference w:type="default" r:id="rId7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264" w:rsidRDefault="00503264">
      <w:r>
        <w:separator/>
      </w:r>
    </w:p>
  </w:endnote>
  <w:endnote w:type="continuationSeparator" w:id="0">
    <w:p w:rsidR="00503264" w:rsidRDefault="0050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23F" w:rsidRDefault="0044423F">
    <w:pPr>
      <w:rPr>
        <w:rFonts w:ascii="Bookman Old Style" w:hAnsi="Bookman Old Style" w:cs="Bookman Old Style"/>
        <w:sz w:val="16"/>
        <w:szCs w:val="16"/>
      </w:rPr>
    </w:pPr>
  </w:p>
  <w:p w:rsidR="0044423F" w:rsidRDefault="002B05DF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EF4EBA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EF4EB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264" w:rsidRDefault="00503264">
      <w:r>
        <w:separator/>
      </w:r>
    </w:p>
  </w:footnote>
  <w:footnote w:type="continuationSeparator" w:id="0">
    <w:p w:rsidR="00503264" w:rsidRDefault="00503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EE3" w:rsidRPr="00026EE3" w:rsidRDefault="00026EE3" w:rsidP="00026EE3">
    <w:pPr>
      <w:rPr>
        <w:rFonts w:ascii="Bookman Old Style" w:hAnsi="Bookman Old Style"/>
        <w:i/>
        <w:color w:val="A6A6A6"/>
        <w:sz w:val="16"/>
        <w:szCs w:val="16"/>
      </w:rPr>
    </w:pPr>
    <w:r w:rsidRPr="00026EE3">
      <w:rPr>
        <w:rFonts w:ascii="Calibri" w:hAnsi="Calibri"/>
        <w:sz w:val="20"/>
        <w:szCs w:val="20"/>
      </w:rPr>
      <w:t>Załą</w:t>
    </w:r>
    <w:r>
      <w:rPr>
        <w:rFonts w:ascii="Calibri" w:hAnsi="Calibri"/>
        <w:sz w:val="20"/>
        <w:szCs w:val="20"/>
      </w:rPr>
      <w:t>cznik nr 2</w:t>
    </w:r>
    <w:r w:rsidRPr="00026EE3">
      <w:rPr>
        <w:rFonts w:ascii="Calibri" w:hAnsi="Calibri"/>
        <w:sz w:val="20"/>
        <w:szCs w:val="20"/>
      </w:rPr>
      <w:t xml:space="preserve"> do zapytania DZ/DZ-072-</w:t>
    </w:r>
    <w:r w:rsidR="00494312">
      <w:rPr>
        <w:rFonts w:ascii="Calibri" w:hAnsi="Calibri"/>
        <w:sz w:val="20"/>
        <w:szCs w:val="20"/>
      </w:rPr>
      <w:t>120</w:t>
    </w:r>
    <w:r w:rsidRPr="00026EE3">
      <w:rPr>
        <w:rFonts w:ascii="Calibri" w:hAnsi="Calibri"/>
        <w:sz w:val="20"/>
        <w:szCs w:val="20"/>
      </w:rPr>
      <w:t>/26</w:t>
    </w:r>
  </w:p>
  <w:p w:rsidR="0044423F" w:rsidRDefault="0044423F">
    <w:pPr>
      <w:pStyle w:val="Bezodstpw"/>
      <w:rPr>
        <w:rFonts w:ascii="Calibri" w:hAnsi="Calibri" w:cs="Calibri"/>
        <w:sz w:val="20"/>
        <w:szCs w:val="20"/>
      </w:rPr>
    </w:pPr>
  </w:p>
  <w:p w:rsidR="0044423F" w:rsidRPr="00E15CFB" w:rsidRDefault="002B05DF" w:rsidP="00E15CFB">
    <w:pPr>
      <w:pStyle w:val="Bezodstpw"/>
      <w:rPr>
        <w:rFonts w:ascii="Calibri" w:hAnsi="Calibri" w:cs="Calibri"/>
        <w:sz w:val="24"/>
      </w:rPr>
    </w:pPr>
    <w:r w:rsidRPr="00E15CFB">
      <w:rPr>
        <w:rFonts w:ascii="Calibri" w:hAnsi="Calibri" w:cs="Calibri"/>
        <w:sz w:val="24"/>
      </w:rPr>
      <w:t>SUKCESYWNE DOSTAWY  ODCZYNNIKÓW I MATERIAŁÓW ZUŻYWALNYCH DO POSIADANEGO ANALIZATORA LIAISON XL WRAZ Z DZIERŻAWĄ  ANALIZATORA TYPU BACK-UP  DLA  NARODOWEGO INSTYTUTU ONKOLOGII IM. MARII SKŁODOWSKIEJ-CURIE – PAŃSTWOWEGO INSTYTUTU BADAWCZEGO ODDZIAŁU W GLIWICACH</w:t>
    </w:r>
  </w:p>
  <w:p w:rsidR="0044423F" w:rsidRDefault="0044423F">
    <w:pPr>
      <w:pStyle w:val="Bezodstpw"/>
      <w:jc w:val="center"/>
      <w:rPr>
        <w:rFonts w:ascii="Calibri" w:hAnsi="Calibri" w:cs="Calibri"/>
        <w:b/>
        <w:sz w:val="20"/>
        <w:szCs w:val="20"/>
      </w:rPr>
    </w:pPr>
  </w:p>
  <w:p w:rsidR="0044423F" w:rsidRPr="00E15CFB" w:rsidRDefault="002B05DF" w:rsidP="00E15CFB">
    <w:pPr>
      <w:pStyle w:val="Bezodstpw"/>
      <w:rPr>
        <w:rFonts w:ascii="Calibri" w:hAnsi="Calibri" w:cs="Calibri"/>
        <w:sz w:val="24"/>
      </w:rPr>
    </w:pPr>
    <w:r w:rsidRPr="00E15CFB">
      <w:rPr>
        <w:rFonts w:ascii="Calibri" w:hAnsi="Calibri" w:cs="Calibri"/>
        <w:b/>
        <w:sz w:val="24"/>
      </w:rPr>
      <w:t>P A R A M E T R Y  W Y M A G A N E</w:t>
    </w:r>
  </w:p>
  <w:p w:rsidR="0044423F" w:rsidRDefault="0044423F">
    <w:pPr>
      <w:rPr>
        <w:rFonts w:ascii="Bookman Old Style" w:hAnsi="Bookman Old Style" w:cs="Bookman Old Style"/>
        <w:b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23F"/>
    <w:rsid w:val="00026EE3"/>
    <w:rsid w:val="00055790"/>
    <w:rsid w:val="002B05DF"/>
    <w:rsid w:val="002D4BB6"/>
    <w:rsid w:val="0039090D"/>
    <w:rsid w:val="003E38CD"/>
    <w:rsid w:val="00431A23"/>
    <w:rsid w:val="0044423F"/>
    <w:rsid w:val="00494312"/>
    <w:rsid w:val="00503264"/>
    <w:rsid w:val="0053000C"/>
    <w:rsid w:val="006C1407"/>
    <w:rsid w:val="00880F7D"/>
    <w:rsid w:val="009C236A"/>
    <w:rsid w:val="00B84F28"/>
    <w:rsid w:val="00CB5B13"/>
    <w:rsid w:val="00E15CFB"/>
    <w:rsid w:val="00EF4EBA"/>
    <w:rsid w:val="00F9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070BEA-0C45-46F6-9348-63B03F2C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sz w:val="2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uiPriority w:val="99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kowald</dc:creator>
  <dc:description/>
  <cp:lastModifiedBy>Magdalena Filipek</cp:lastModifiedBy>
  <cp:revision>2</cp:revision>
  <cp:lastPrinted>2026-05-22T11:29:00Z</cp:lastPrinted>
  <dcterms:created xsi:type="dcterms:W3CDTF">2026-05-22T11:30:00Z</dcterms:created>
  <dcterms:modified xsi:type="dcterms:W3CDTF">2026-05-22T11:30:00Z</dcterms:modified>
  <dc:language>pl-PL</dc:language>
</cp:coreProperties>
</file>